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drawing>
          <wp:inline distT="0" distB="0" distL="0" distR="0">
            <wp:extent cx="519430" cy="575945"/>
            <wp:effectExtent l="0" t="0" r="13970" b="14605"/>
            <wp:docPr id="16" name="Рисунок 1" descr="33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" descr="333_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9430" cy="575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0"/>
        </w:tabs>
        <w:spacing w:after="0"/>
        <w:contextualSpacing/>
        <w:jc w:val="center"/>
        <w:rPr>
          <w:b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ПРОФЕССИОНАЛЬНЫЙ СОЮЗ РАБОТНИКОВ НАРОДНОГО ОБРАЗОВАНИЯ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И НАУКИ РОССИЙСКОЙ ФЕДЕРАЦИИ</w:t>
      </w:r>
    </w:p>
    <w:p>
      <w:pPr>
        <w:spacing w:after="0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ЛАБИНСКАЯ РАЙОННАЯ ОРГАНИЗАЦИЯ ПРОФЕССИОНАЛЬНОГО СОЮЗА</w:t>
      </w:r>
    </w:p>
    <w:p>
      <w:pPr>
        <w:spacing w:after="0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РАБОТНИКОВ НАРОДНОГО ОБРАЗОВАНИЯ И НАУКИ РОССИЙСКОЙ ФЕДЕРАЦИИ</w:t>
      </w:r>
    </w:p>
    <w:p>
      <w:pPr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(ЛАБИНСКАЯ РАЙОННАЯ ОРГАНИЗАЦИЯ ОБЩЕРОССИЙСКОГО ПРОФСОЮЗА ОБРАЗОВАНИЯ</w:t>
      </w:r>
    </w:p>
    <w:p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ПРЕЗИДИУМ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>
      <w:pPr>
        <w:spacing w:after="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_____________________________________________________________________</w:t>
      </w:r>
      <w:r>
        <w:rPr>
          <w:rFonts w:hint="default" w:ascii="Times New Roman" w:hAnsi="Times New Roman" w:cs="Times New Roman"/>
          <w:b/>
          <w:lang w:val="ru-RU"/>
        </w:rPr>
        <w:t>____</w:t>
      </w:r>
      <w:r>
        <w:rPr>
          <w:rFonts w:ascii="Times New Roman" w:hAnsi="Times New Roman" w:cs="Times New Roman"/>
          <w:b/>
        </w:rPr>
        <w:t xml:space="preserve">______________ </w:t>
      </w:r>
    </w:p>
    <w:p>
      <w:pPr>
        <w:pStyle w:val="4"/>
        <w:rPr>
          <w:rFonts w:hint="default"/>
          <w:b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   от 2</w:t>
      </w:r>
      <w:r>
        <w:rPr>
          <w:rFonts w:hint="default"/>
          <w:b/>
          <w:sz w:val="28"/>
          <w:szCs w:val="28"/>
          <w:lang w:val="ru-RU"/>
        </w:rPr>
        <w:t>2</w:t>
      </w:r>
      <w:r>
        <w:rPr>
          <w:b/>
          <w:sz w:val="28"/>
          <w:szCs w:val="28"/>
        </w:rPr>
        <w:t xml:space="preserve"> февраля 202</w:t>
      </w:r>
      <w:r>
        <w:rPr>
          <w:rFonts w:hint="default"/>
          <w:b/>
          <w:sz w:val="28"/>
          <w:szCs w:val="28"/>
          <w:lang w:val="ru-RU"/>
        </w:rPr>
        <w:t>3</w:t>
      </w:r>
      <w:r>
        <w:rPr>
          <w:b/>
          <w:sz w:val="28"/>
          <w:szCs w:val="28"/>
        </w:rPr>
        <w:t xml:space="preserve"> г.                   г. Лабинск                                          №</w:t>
      </w:r>
      <w:r>
        <w:rPr>
          <w:rFonts w:hint="default"/>
          <w:b/>
          <w:sz w:val="28"/>
          <w:szCs w:val="28"/>
          <w:lang w:val="ru-RU"/>
        </w:rPr>
        <w:t>38</w:t>
      </w:r>
      <w:r>
        <w:rPr>
          <w:b/>
          <w:sz w:val="28"/>
          <w:szCs w:val="28"/>
        </w:rPr>
        <w:t>-</w:t>
      </w:r>
      <w:r>
        <w:rPr>
          <w:rFonts w:hint="default"/>
          <w:b/>
          <w:sz w:val="28"/>
          <w:szCs w:val="28"/>
          <w:lang w:val="ru-RU"/>
        </w:rPr>
        <w:t>4</w:t>
      </w:r>
    </w:p>
    <w:p>
      <w:pPr>
        <w:pStyle w:val="4"/>
        <w:rPr>
          <w:b/>
          <w:sz w:val="28"/>
          <w:szCs w:val="28"/>
        </w:rPr>
      </w:pPr>
    </w:p>
    <w:p>
      <w:pPr>
        <w:pStyle w:val="5"/>
        <w:contextualSpacing/>
        <w:jc w:val="both"/>
        <w:rPr>
          <w:sz w:val="28"/>
          <w:szCs w:val="28"/>
        </w:rPr>
      </w:pPr>
    </w:p>
    <w:p>
      <w:pPr>
        <w:ind w:right="521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программы развития и совершенствования  информационной работы Лабинской районной организации на 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повышения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престижности и общественного признания педагогической профессии, </w:t>
      </w:r>
      <w:r>
        <w:rPr>
          <w:rFonts w:ascii="Times New Roman" w:hAnsi="Times New Roman" w:cs="Times New Roman"/>
          <w:sz w:val="28"/>
          <w:szCs w:val="28"/>
        </w:rPr>
        <w:t>формирования положительного имиджа Профсоюза, популяризации его деятельности в сфере образования и обществе, президиум районной организации Профсоюза постановляет:</w:t>
      </w:r>
    </w:p>
    <w:p>
      <w:pPr>
        <w:ind w:firstLine="720"/>
        <w:jc w:val="both"/>
        <w:rPr>
          <w:rFonts w:ascii="Times New Roman" w:hAnsi="Times New Roman" w:eastAsia="Times New Roman" w:cs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- утвердить программу развития и совершенствования информационной работы Лабинской районной организации на 202</w:t>
      </w:r>
      <w:r>
        <w:rPr>
          <w:rFonts w:hint="default" w:ascii="Times New Roman" w:hAnsi="Times New Roman" w:cs="Times New Roman"/>
          <w:bCs/>
          <w:color w:val="000000"/>
          <w:spacing w:val="-1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 год.</w:t>
      </w:r>
    </w:p>
    <w:p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     </w:t>
      </w:r>
    </w:p>
    <w:p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Т.В.Губкину, председателя Лабинской районной организации Общероссийского Профсоюза образования.                                                                              </w:t>
      </w:r>
    </w:p>
    <w:p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Лабинской районной</w:t>
      </w:r>
    </w:p>
    <w:p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Общероссийского</w:t>
      </w:r>
    </w:p>
    <w:p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Профсоюза образования                                              Т.В.Губкина</w:t>
      </w:r>
    </w:p>
    <w:p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contextualSpacing/>
        <w:jc w:val="both"/>
        <w:rPr>
          <w:sz w:val="28"/>
          <w:szCs w:val="28"/>
        </w:rPr>
      </w:pPr>
    </w:p>
    <w:p>
      <w:pPr>
        <w:contextualSpacing/>
        <w:jc w:val="both"/>
        <w:rPr>
          <w:rFonts w:ascii="Times New Roman" w:hAnsi="Times New Roman" w:cs="Times New Roman"/>
        </w:rPr>
      </w:pPr>
    </w:p>
    <w:p>
      <w:pPr>
        <w:jc w:val="both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</w:p>
    <w:p>
      <w:pPr>
        <w:contextualSpacing/>
        <w:jc w:val="both"/>
        <w:rPr>
          <w:b/>
        </w:rPr>
      </w:pPr>
      <w:r>
        <w:t xml:space="preserve">          </w:t>
      </w:r>
    </w:p>
    <w:p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УТВЕРЖДЕНО</w:t>
      </w:r>
    </w:p>
    <w:p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президиума                                                                      </w:t>
      </w:r>
    </w:p>
    <w:p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районной организацией                                                                                                                                                                         </w:t>
      </w:r>
    </w:p>
    <w:p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пр.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38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 от 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</w:rPr>
        <w:t>.02.202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>г.</w:t>
      </w:r>
    </w:p>
    <w:p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___________Т.В.Губкина</w:t>
      </w:r>
    </w:p>
    <w:p>
      <w:pPr>
        <w:shd w:val="clear" w:color="auto" w:fill="FFFFFF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shd w:val="clear" w:color="auto" w:fill="FFFFFF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shd w:val="clear" w:color="auto" w:fill="FFFFFF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shd w:val="clear" w:color="auto" w:fill="FFFFFF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shd w:val="clear" w:color="auto" w:fill="FFFFFF"/>
        <w:contextualSpacing/>
        <w:rPr>
          <w:rFonts w:ascii="Times New Roman" w:hAnsi="Times New Roman" w:cs="Times New Roman"/>
          <w:b/>
          <w:sz w:val="96"/>
          <w:szCs w:val="96"/>
        </w:rPr>
      </w:pPr>
    </w:p>
    <w:p>
      <w:pPr>
        <w:shd w:val="clear" w:color="auto" w:fill="FFFFFF"/>
        <w:contextualSpacing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ПРОГРАММА</w:t>
      </w:r>
    </w:p>
    <w:p>
      <w:pPr>
        <w:shd w:val="clear" w:color="auto" w:fill="FFFFFF"/>
        <w:contextualSpacing/>
        <w:jc w:val="center"/>
        <w:rPr>
          <w:rFonts w:ascii="Times New Roman" w:hAnsi="Times New Roman" w:cs="Times New Roman"/>
          <w:b/>
          <w:sz w:val="44"/>
          <w:szCs w:val="44"/>
        </w:rPr>
      </w:pPr>
    </w:p>
    <w:p>
      <w:pPr>
        <w:shd w:val="clear" w:color="auto" w:fill="FFFFF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развития и совершенствования информационной работы Лабинской районной территориальной организации Профсоюза об</w:t>
      </w:r>
      <w:r>
        <w:rPr>
          <w:rFonts w:ascii="Times New Roman" w:hAnsi="Times New Roman" w:cs="Times New Roman"/>
          <w:b/>
          <w:sz w:val="28"/>
          <w:szCs w:val="28"/>
        </w:rPr>
        <w:softHyphen/>
      </w:r>
      <w:r>
        <w:rPr>
          <w:rFonts w:ascii="Times New Roman" w:hAnsi="Times New Roman" w:cs="Times New Roman"/>
          <w:b/>
          <w:sz w:val="28"/>
          <w:szCs w:val="28"/>
        </w:rPr>
        <w:t>разования</w:t>
      </w:r>
    </w:p>
    <w:p>
      <w:pPr>
        <w:shd w:val="clear" w:color="auto" w:fill="FFFFF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>
      <w:pPr>
        <w:shd w:val="clear" w:color="auto" w:fill="FFFFFF"/>
        <w:contextualSpacing/>
        <w:rPr>
          <w:rFonts w:ascii="Times New Roman" w:hAnsi="Times New Roman" w:cs="Times New Roman"/>
          <w:b/>
          <w:sz w:val="28"/>
          <w:szCs w:val="28"/>
        </w:rPr>
      </w:pPr>
    </w:p>
    <w:p>
      <w:pPr>
        <w:shd w:val="clear" w:color="auto" w:fill="FFFFFF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shd w:val="clear" w:color="auto" w:fill="FFFFFF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shd w:val="clear" w:color="auto" w:fill="FFFFFF"/>
        <w:contextualSpacing/>
        <w:rPr>
          <w:sz w:val="28"/>
          <w:szCs w:val="28"/>
        </w:rPr>
      </w:pPr>
    </w:p>
    <w:p>
      <w:pPr>
        <w:shd w:val="clear" w:color="auto" w:fill="FFFFFF"/>
        <w:contextualSpacing/>
        <w:rPr>
          <w:sz w:val="28"/>
          <w:szCs w:val="28"/>
        </w:rPr>
      </w:pPr>
    </w:p>
    <w:p>
      <w:pPr>
        <w:shd w:val="clear" w:color="auto" w:fill="FFFFFF"/>
        <w:contextualSpacing/>
        <w:rPr>
          <w:sz w:val="28"/>
          <w:szCs w:val="28"/>
        </w:rPr>
      </w:pPr>
    </w:p>
    <w:p>
      <w:pPr>
        <w:shd w:val="clear" w:color="auto" w:fill="FFFFFF"/>
        <w:contextualSpacing/>
        <w:rPr>
          <w:sz w:val="28"/>
          <w:szCs w:val="28"/>
        </w:rPr>
      </w:pPr>
    </w:p>
    <w:p>
      <w:pPr>
        <w:shd w:val="clear" w:color="auto" w:fill="FFFFFF"/>
        <w:contextualSpacing/>
        <w:rPr>
          <w:sz w:val="28"/>
          <w:szCs w:val="28"/>
        </w:rPr>
      </w:pPr>
    </w:p>
    <w:p>
      <w:pPr>
        <w:shd w:val="clear" w:color="auto" w:fill="FFFFFF"/>
        <w:contextualSpacing/>
        <w:rPr>
          <w:sz w:val="28"/>
          <w:szCs w:val="28"/>
        </w:rPr>
      </w:pPr>
    </w:p>
    <w:p>
      <w:pPr>
        <w:shd w:val="clear" w:color="auto" w:fill="FFFFFF"/>
        <w:contextualSpacing/>
        <w:rPr>
          <w:sz w:val="28"/>
          <w:szCs w:val="28"/>
        </w:rPr>
      </w:pPr>
    </w:p>
    <w:p>
      <w:pPr>
        <w:shd w:val="clear" w:color="auto" w:fill="FFFFFF"/>
        <w:contextualSpacing/>
        <w:rPr>
          <w:sz w:val="28"/>
          <w:szCs w:val="28"/>
        </w:rPr>
      </w:pPr>
    </w:p>
    <w:p>
      <w:pPr>
        <w:shd w:val="clear" w:color="auto" w:fill="FFFFFF"/>
        <w:contextualSpacing/>
        <w:rPr>
          <w:sz w:val="28"/>
          <w:szCs w:val="28"/>
        </w:rPr>
      </w:pPr>
    </w:p>
    <w:p>
      <w:pPr>
        <w:shd w:val="clear" w:color="auto" w:fill="FFFFFF"/>
        <w:contextualSpacing/>
        <w:rPr>
          <w:sz w:val="28"/>
          <w:szCs w:val="28"/>
        </w:rPr>
      </w:pPr>
    </w:p>
    <w:p>
      <w:pPr>
        <w:shd w:val="clear" w:color="auto" w:fill="FFFFFF"/>
        <w:contextualSpacing/>
        <w:rPr>
          <w:sz w:val="28"/>
          <w:szCs w:val="28"/>
        </w:rPr>
      </w:pPr>
    </w:p>
    <w:p>
      <w:pPr>
        <w:shd w:val="clear" w:color="auto" w:fill="FFFFFF"/>
        <w:contextualSpacing/>
        <w:rPr>
          <w:sz w:val="28"/>
          <w:szCs w:val="28"/>
        </w:rPr>
      </w:pPr>
    </w:p>
    <w:p>
      <w:pPr>
        <w:shd w:val="clear" w:color="auto" w:fill="FFFFFF"/>
        <w:contextualSpacing/>
        <w:rPr>
          <w:sz w:val="28"/>
          <w:szCs w:val="28"/>
        </w:rPr>
      </w:pPr>
    </w:p>
    <w:p>
      <w:pPr>
        <w:shd w:val="clear" w:color="auto" w:fill="FFFFFF"/>
        <w:contextualSpacing/>
        <w:rPr>
          <w:sz w:val="28"/>
          <w:szCs w:val="28"/>
        </w:rPr>
      </w:pPr>
    </w:p>
    <w:p>
      <w:pPr>
        <w:shd w:val="clear" w:color="auto" w:fill="FFFFFF"/>
        <w:contextualSpacing/>
        <w:rPr>
          <w:sz w:val="28"/>
          <w:szCs w:val="28"/>
        </w:rPr>
      </w:pPr>
    </w:p>
    <w:p>
      <w:pPr>
        <w:shd w:val="clear" w:color="auto" w:fill="FFFFFF"/>
        <w:ind w:left="-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. Введение</w:t>
      </w:r>
    </w:p>
    <w:p>
      <w:pPr>
        <w:shd w:val="clear" w:color="auto" w:fill="FFFFFF"/>
        <w:ind w:left="-567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связи с расширением информационных потоков, возрастанием роли ин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формации, развитием новых информационных технологий Профсоюзу требуется принятие адекватных мер в данном направлении его деятельности, которые бы обеспечили его эффективную работу.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hd w:val="clear" w:color="auto" w:fill="FFFFFF"/>
        <w:ind w:left="-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>. Цели программы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Создание целостной информационной системы в Лабинской районной территориальной  организации Профсоюза образования.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Настоящая программа ставит своей целью: поиск, освоение и развитие новых информационных технологий для осуществления более эффективной деятельности Профсоюза по защите социально-трудовых,  профессиональных  прав  и интересов членов Профсоюза, широкой информированности профсоюзного актива, членов Профсоюза, общества о деятельности Профсоюза, повышения уровня компетентности профсоюзных кадров и актива, привлечения к активному участию первичных профсоюзных организаций, членов Профсоюза к решению стоящих перед Профсоюзом задач, а также информированность профсоюзного актива, членов Профсоюза и общественности о деятельности районной   организации Профсоюза.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>
      <w:pPr>
        <w:ind w:left="-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Ш. Основные механизмы реализации.</w:t>
      </w:r>
    </w:p>
    <w:p>
      <w:pPr>
        <w:ind w:left="-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Реализация Программы базируется на взаимодействии всех уровней Профсоюза: </w:t>
      </w:r>
    </w:p>
    <w:p>
      <w:pPr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ЦС Профсоюза, ФНПР;</w:t>
      </w:r>
    </w:p>
    <w:p>
      <w:pPr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Краснодарская краевая организации Профсоюза образования;</w:t>
      </w:r>
    </w:p>
    <w:p>
      <w:pPr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Лабинская районная территориальная организации Профсоюза образования;</w:t>
      </w:r>
    </w:p>
    <w:p>
      <w:pPr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первичные профсоюзные организации.</w:t>
      </w:r>
    </w:p>
    <w:p>
      <w:pPr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Информационная работа обеспечивается силами актива, членов Профсоюза, с привлечением информационного ресурса Профсоюза, Интернета, СМИ на основе действующей нормативно-правовой базы.</w:t>
      </w:r>
    </w:p>
    <w:p>
      <w:pPr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Координация и обеспечение информационной работы возлагается на президиум комитета районной организации Профсоюза, выборные органы первичных профсоюзных организаций.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hd w:val="clear" w:color="auto" w:fill="FFFFFF"/>
        <w:ind w:left="-56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>
      <w:pPr>
        <w:shd w:val="clear" w:color="auto" w:fill="FFFFFF"/>
        <w:ind w:left="-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>. Задачи</w:t>
      </w:r>
    </w:p>
    <w:p>
      <w:pPr>
        <w:shd w:val="clear" w:color="auto" w:fill="FFFFFF"/>
        <w:ind w:left="-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Приведение информационной работы в соответствие с требованиями и уставными задачами Профсоюза.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Повышение профессионализма и информационной культуры профсоюзных кадров и актива.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Формирование имиджа районной организации   как одной из основных и наиболее дееспособных на территории Лабинского района отраслевых организаций Профсоюза.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Привлечение внимания общества к проблемам образования и его работников.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Разъяснение стратегических целей и задач Профсоюза, формирование положительного имиджа его среди работников отрасли, общественности.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Обеспечение информационной связи между комитетом районной  организации Профсоюза и первичными профсоюзными организациями.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 Укрепление материально-технической базы информационной работы.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4.8. Способствование развитию современных информационных технологий и созданию целостной информационной системы отраслевого Профсоюза.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hd w:val="clear" w:color="auto" w:fill="FFFFFF"/>
        <w:ind w:left="-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 Направления информационной работы.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структуры и содержания сложившейся системы информационной деятельности комитета районной организации Профсоюза в соответствии с современными требованиями и ситуацией в отрасли образования;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новых более гибких и современных форм;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введение новых информационных технологий;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методическое обеспечение информационной ра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боты;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организация обучения профактива новым информационным технологиям;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поддержка и распространение лучшего опыта информационной работы первичных профсоюзных организаций.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hd w:val="clear" w:color="auto" w:fill="FFFFFF"/>
        <w:ind w:left="-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sz w:val="28"/>
          <w:szCs w:val="28"/>
        </w:rPr>
        <w:t>. Основные мероприятия по реализации Программы.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На уровне районной организации Профсоюза: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6.1.1.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Реализация районной Программы развития и совершенствования информационной работы.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6.1.2. Сбор и первичный анализ о деятельности Профсоюза, органов государ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 xml:space="preserve">ственной и законодательной власти, социально-экономической ситуации в стране, крае, районе, городе, о новых нормативных и правовых актах, опыте и результатах социального партнерства. 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6.1.3. Распространение материалов о деятельности Центрального Совета Профсоюза, комитетов краевой и районной организаций Профсоюза. 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6.1.4. Подготовка материалов для публикаций в средствах массовой информации 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освещения о деятельности районной организации Профсоюза и первичных профсоюзных организаций.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6.1.5. Издание методических материалов и информационных бюллетеней для первичных профсоюзных организаций, в помощь профсоюзному активу: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и направление информационных пакетов, содержа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щих материалы Центрального Совета Профсоюза, комитетов краевой и районной организаций Профсоюза;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6.1.6. Организация обучения профсоюзного актива по вопросам информационной работы.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6.1.7. Проведение проверок первичных профсоюзных организаций по организации информационной работы.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 состояния информационной работы в первичных профсоюзных организациях: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6.1.8. Материально-техническое и методическое обеспечение организации информационной работы. 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6.1.9. Организация подписки на газету «Мой    Профсоюз».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6.1.10. Закрепление в отраслевом Соглашении гарантий предоставления выборным профсоюзным органам образовательных организаций безвозмездного пользования средствами связи, в том числе компьютерным оборудованием, электронной почтой и Интернетом.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6.1.11. Проведение районного конкурса «Лучший профсоюзный уголок».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6.1.12. Отслеживание наполнения профсоюзных страниц на сайтах образовательных организаций.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На уровне первичной профсоюзной организации: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6.2.1. Оформление информационных стендов «Профсоюзный уголок».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6.2.2. Организация публикаций и выступлений перед членами Профсоюза о деятельности отраслевого Профсоюза, краевой, районной и первичной организации Профсоюза.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6.2.3. Обмен информацией о деятельности первичных профсоюзных организаций и комитета районной организации Профсоюза.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6.2.4. Закрепление в коллективном договоре гарантий предоставления выборному профоргану безвозмездного пользования средствами связи, в том числе компьютерным оборудованием, электронной почтой, Интернетом.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6.2.5. Создание и совершенствование электронных страниц о деятельности первичных профсоюзных организаций на сайтах образовательных организаций. </w:t>
      </w:r>
    </w:p>
    <w:p>
      <w:pPr>
        <w:shd w:val="clear" w:color="auto" w:fill="FFFFFF"/>
        <w:ind w:left="-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hd w:val="clear" w:color="auto" w:fill="FFFFFF"/>
        <w:ind w:left="-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b/>
          <w:sz w:val="28"/>
          <w:szCs w:val="28"/>
        </w:rPr>
        <w:t>. Финансирование Программы.</w:t>
      </w:r>
    </w:p>
    <w:p>
      <w:pPr>
        <w:shd w:val="clear" w:color="auto" w:fill="FFFFFF"/>
        <w:ind w:left="-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Финансовое обеспечение Программы осуществляется за счет средств комитета районной организации Профсоюза, средств первичных профсоюзных организаций, предусмотренных соответствующими статьями расходов.</w:t>
      </w:r>
    </w:p>
    <w:p>
      <w:pPr>
        <w:shd w:val="clear" w:color="auto" w:fill="FFFFFF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ind w:left="-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</w:p>
    <w:p>
      <w:pPr>
        <w:ind w:left="-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>
      <w:pPr>
        <w:ind w:left="-567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ind w:left="-567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ind w:left="-567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ind w:left="-567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ind w:left="-567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ind w:left="-567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ind w:left="-567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ind w:left="-567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ind w:left="-567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ind w:left="-567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ind w:left="-567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ind w:left="-567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ind w:left="-567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ind w:left="-567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ind w:left="-567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ind w:left="-567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ind w:left="-567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ind w:left="-567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ind w:left="-567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ind w:left="-567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ind w:left="-567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ind w:left="-567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ind w:left="-567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ind w:left="-567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ind w:left="-567"/>
        <w:contextualSpacing/>
        <w:rPr>
          <w:rFonts w:ascii="Times New Roman" w:hAnsi="Times New Roman" w:cs="Times New Roman"/>
          <w:sz w:val="28"/>
          <w:szCs w:val="28"/>
        </w:rPr>
      </w:pPr>
    </w:p>
    <w:p>
      <w:pPr>
        <w:ind w:left="-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b/>
          <w:lang w:val="ru-RU"/>
        </w:rPr>
        <w:t xml:space="preserve">                </w:t>
      </w:r>
      <w:r>
        <w:rPr>
          <w:rFonts w:ascii="Times New Roman" w:hAnsi="Times New Roman" w:cs="Times New Roman"/>
          <w:b/>
        </w:rPr>
        <w:t xml:space="preserve">  </w:t>
      </w:r>
      <w:r>
        <w:rPr>
          <w:rFonts w:hint="default" w:ascii="Times New Roman" w:hAnsi="Times New Roman" w:cs="Times New Roman"/>
          <w:b/>
          <w:lang w:val="ru-RU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УТВЕРЖДЕНО</w:t>
      </w:r>
    </w:p>
    <w:p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президиума                                                                      </w:t>
      </w:r>
    </w:p>
    <w:p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районной организацией                                                                                                                                                                         </w:t>
      </w:r>
    </w:p>
    <w:p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пр.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38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 от 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</w:rPr>
        <w:t>.02.202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>г.</w:t>
      </w:r>
    </w:p>
    <w:p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___________Т.В.Губкина</w:t>
      </w:r>
    </w:p>
    <w:p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РАБОТЫ</w:t>
      </w:r>
    </w:p>
    <w:p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tabs>
          <w:tab w:val="left" w:pos="567"/>
        </w:tabs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ВЫПОЛНЕНИЮ ПРОГРАММЫ РАЗВИТИЯ И СОВЕРШЕНСТВОВАНИЯ ИНФОРМАЦИОННОЙ РАБОТЫ ЛАБИНСКОЙ РАЙОННОЙ  ОРГАНИЗАЦИИ ОБЩЕРОССИЙСКОГО ПРОФСОЮЗА ОБРАЗОВАНИЯ</w:t>
      </w:r>
    </w:p>
    <w:p>
      <w:pPr>
        <w:tabs>
          <w:tab w:val="left" w:pos="567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</w:p>
    <w:tbl>
      <w:tblPr>
        <w:tblStyle w:val="3"/>
        <w:tblW w:w="1047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5542"/>
        <w:gridCol w:w="1800"/>
        <w:gridCol w:w="2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5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мероприятия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Модернизация сайта районной организации.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Губкина Т.В.</w:t>
            </w:r>
          </w:p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Никонова И.В.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подписки на газету «Мой Профсоюз», "Человек труда", "Солидарность", "Профсоюзный журнал"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май,</w:t>
            </w:r>
          </w:p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Губкина Т.В.</w:t>
            </w:r>
          </w:p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Донецкая Н.А.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Сбор и анализ информации о деятельности первичных профсоюзных организаций по вопросам, затрагивающим социально-экономические, трудовые интересы членов Профсоюза.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Губкина Т.В.</w:t>
            </w:r>
          </w:p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Подведение итогов конкурса Профсоюзных уголков на сайтах учреждения.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Губкина Т.В.</w:t>
            </w:r>
          </w:p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Подготовка, тиражирование методических материалов по вопросам, затрагивающим социально-экономические, трудовые, правовые интересы членов Профсоюза.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Губкина Т.В.</w:t>
            </w:r>
          </w:p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Донецкая Н.А.</w:t>
            </w:r>
          </w:p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Никонова И.В.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Информационное обеспечение первичных профсоюзных организаций о деятельности ЦС, комитетов краевой, районной  организаций Профсоюза.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постоянно 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Губкина Т.В.</w:t>
            </w:r>
          </w:p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Никонова И.В.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Обобщение и распространение опыта работы первичных профсоюзных организаций.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Губкина Т.В.</w:t>
            </w:r>
          </w:p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Создание фотоотчетов о проводимых районной организацией мероприятиях. 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Губкина Т.В.</w:t>
            </w:r>
          </w:p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Никонова И.В.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информационных материалов для СМИ.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постоянно 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Губкина Т.В.</w:t>
            </w:r>
          </w:p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Председатели ППО.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Привлечение первичных профсоюзных организаций к подготовке публикаций в СМИ.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постоянно 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Губкина Т.В.</w:t>
            </w:r>
          </w:p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Председатели ППО</w:t>
            </w:r>
          </w:p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Никонова И.В.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работы по выполнению Программы по совершенствованию информационной работы в РТО Профсоюза.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раза в год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Губкина Т.В.</w:t>
            </w:r>
          </w:p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left="-300" w:firstLine="30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по созданию и наполняемости электронных страничек первичных профсоюзных организаций на сайтах образовательных организаций.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Губкина Т.В.</w:t>
            </w:r>
          </w:p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Председатели ППО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проверок первичных профсоюзных организаций по информационной работе.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Губкина Т.В.</w:t>
            </w:r>
          </w:p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Председатели ППО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Распространение лучшего опыта информационной работы первичных профсоюзных организаций.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Губкина Т.В.</w:t>
            </w:r>
          </w:p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Председатели ППО.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работы первичных профсоюзных организаций по обновлению электронных страничек   на сайтах образовательных организаций.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Губкина Т.В.</w:t>
            </w:r>
          </w:p>
          <w:p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>
      <w:pPr>
        <w:contextualSpacing/>
        <w:jc w:val="both"/>
        <w:rPr>
          <w:rFonts w:ascii="Times New Roman" w:hAnsi="Times New Roman" w:cs="Times New Roman"/>
        </w:rPr>
      </w:pPr>
    </w:p>
    <w:p>
      <w:pPr>
        <w:shd w:val="clear" w:color="auto" w:fill="FFFFFF"/>
        <w:contextualSpacing/>
        <w:jc w:val="both"/>
        <w:rPr>
          <w:rFonts w:ascii="Times New Roman" w:hAnsi="Times New Roman" w:cs="Times New Roman"/>
        </w:rPr>
      </w:pPr>
    </w:p>
    <w:p>
      <w:pPr>
        <w:contextualSpacing/>
        <w:jc w:val="both"/>
        <w:rPr>
          <w:rFonts w:ascii="Times New Roman" w:hAnsi="Times New Roman" w:cs="Times New Roman"/>
        </w:rPr>
      </w:pPr>
    </w:p>
    <w:p>
      <w:pPr>
        <w:contextualSpacing/>
        <w:jc w:val="both"/>
        <w:rPr>
          <w:rFonts w:ascii="Times New Roman" w:hAnsi="Times New Roman" w:cs="Times New Roman"/>
        </w:rPr>
      </w:pPr>
    </w:p>
    <w:p>
      <w:pPr>
        <w:contextualSpacing/>
        <w:jc w:val="both"/>
        <w:rPr>
          <w:rFonts w:ascii="Times New Roman" w:hAnsi="Times New Roman" w:cs="Times New Roman"/>
        </w:rPr>
      </w:pPr>
    </w:p>
    <w:p>
      <w:pPr>
        <w:contextualSpacing/>
        <w:jc w:val="both"/>
        <w:rPr>
          <w:rFonts w:ascii="Times New Roman" w:hAnsi="Times New Roman" w:cs="Times New Roman"/>
        </w:rPr>
      </w:pPr>
    </w:p>
    <w:p>
      <w:pPr>
        <w:contextualSpacing/>
        <w:jc w:val="both"/>
        <w:rPr>
          <w:rFonts w:ascii="Times New Roman" w:hAnsi="Times New Roman" w:cs="Times New Roman"/>
        </w:rPr>
      </w:pPr>
    </w:p>
    <w:p>
      <w:pPr>
        <w:contextualSpacing/>
        <w:jc w:val="both"/>
        <w:rPr>
          <w:rFonts w:ascii="Times New Roman" w:hAnsi="Times New Roman" w:cs="Times New Roman"/>
        </w:rPr>
      </w:pPr>
    </w:p>
    <w:p>
      <w:pPr>
        <w:contextualSpacing/>
        <w:jc w:val="both"/>
        <w:rPr>
          <w:rFonts w:ascii="Times New Roman" w:hAnsi="Times New Roman" w:cs="Times New Roman"/>
        </w:rPr>
      </w:pPr>
    </w:p>
    <w:p>
      <w:pPr>
        <w:contextualSpacing/>
        <w:jc w:val="both"/>
        <w:rPr>
          <w:rFonts w:ascii="Times New Roman" w:hAnsi="Times New Roman" w:cs="Times New Roman"/>
        </w:rPr>
      </w:pPr>
    </w:p>
    <w:p>
      <w:pPr>
        <w:contextualSpacing/>
        <w:jc w:val="both"/>
        <w:rPr>
          <w:rFonts w:ascii="Times New Roman" w:hAnsi="Times New Roman" w:cs="Times New Roman"/>
        </w:rPr>
      </w:pPr>
    </w:p>
    <w:p>
      <w:pPr>
        <w:contextualSpacing/>
        <w:jc w:val="both"/>
        <w:rPr>
          <w:rFonts w:ascii="Times New Roman" w:hAnsi="Times New Roman" w:cs="Times New Roman"/>
        </w:rPr>
      </w:pPr>
    </w:p>
    <w:p>
      <w:pPr>
        <w:contextualSpacing/>
        <w:jc w:val="both"/>
        <w:rPr>
          <w:rFonts w:ascii="Times New Roman" w:hAnsi="Times New Roman" w:cs="Times New Roman"/>
        </w:rPr>
      </w:pPr>
    </w:p>
    <w:p>
      <w:pPr>
        <w:contextualSpacing/>
        <w:jc w:val="both"/>
        <w:rPr>
          <w:rFonts w:ascii="Times New Roman" w:hAnsi="Times New Roman" w:cs="Times New Roman"/>
        </w:rPr>
      </w:pPr>
    </w:p>
    <w:p>
      <w:pPr>
        <w:contextualSpacing/>
        <w:jc w:val="both"/>
        <w:rPr>
          <w:rFonts w:ascii="Times New Roman" w:hAnsi="Times New Roman" w:cs="Times New Roman"/>
        </w:rPr>
      </w:pPr>
    </w:p>
    <w:p>
      <w:pPr>
        <w:contextualSpacing/>
        <w:jc w:val="both"/>
        <w:rPr>
          <w:rFonts w:ascii="Times New Roman" w:hAnsi="Times New Roman" w:cs="Times New Roman"/>
        </w:rPr>
      </w:pPr>
    </w:p>
    <w:p>
      <w:pPr>
        <w:contextualSpacing/>
        <w:jc w:val="both"/>
        <w:rPr>
          <w:rFonts w:ascii="Times New Roman" w:hAnsi="Times New Roman" w:cs="Times New Roman"/>
        </w:rPr>
      </w:pPr>
    </w:p>
    <w:p>
      <w:pPr>
        <w:contextualSpacing/>
        <w:jc w:val="both"/>
        <w:rPr>
          <w:rFonts w:ascii="Times New Roman" w:hAnsi="Times New Roman" w:cs="Times New Roman"/>
        </w:rPr>
      </w:pPr>
    </w:p>
    <w:p>
      <w:pPr>
        <w:contextualSpacing/>
        <w:jc w:val="both"/>
        <w:rPr>
          <w:rFonts w:ascii="Times New Roman" w:hAnsi="Times New Roman" w:cs="Times New Roman"/>
        </w:rPr>
      </w:pPr>
    </w:p>
    <w:p>
      <w:pPr>
        <w:contextualSpacing/>
        <w:jc w:val="both"/>
        <w:rPr>
          <w:rFonts w:ascii="Times New Roman" w:hAnsi="Times New Roman" w:cs="Times New Roman"/>
        </w:rPr>
      </w:pPr>
    </w:p>
    <w:p>
      <w:pPr>
        <w:contextualSpacing/>
        <w:jc w:val="both"/>
        <w:rPr>
          <w:rFonts w:ascii="Times New Roman" w:hAnsi="Times New Roman" w:cs="Times New Roman"/>
        </w:rPr>
      </w:pPr>
    </w:p>
    <w:p>
      <w:pPr>
        <w:contextualSpacing/>
        <w:jc w:val="both"/>
        <w:rPr>
          <w:rFonts w:ascii="Times New Roman" w:hAnsi="Times New Roman" w:cs="Times New Roman"/>
        </w:rPr>
      </w:pPr>
    </w:p>
    <w:p>
      <w:pPr>
        <w:contextualSpacing/>
        <w:jc w:val="both"/>
        <w:rPr>
          <w:rFonts w:ascii="Times New Roman" w:hAnsi="Times New Roman" w:cs="Times New Roman"/>
        </w:rPr>
      </w:pPr>
    </w:p>
    <w:p>
      <w:bookmarkStart w:id="0" w:name="_GoBack"/>
      <w:bookmarkEnd w:id="0"/>
    </w:p>
    <w:sectPr>
      <w:pgSz w:w="11906" w:h="16838"/>
      <w:pgMar w:top="1043" w:right="1009" w:bottom="1440" w:left="129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E15469"/>
    <w:rsid w:val="6F81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Без интервала3"/>
    <w:qFormat/>
    <w:uiPriority w:val="0"/>
    <w:pPr>
      <w:spacing w:after="0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paragraph" w:customStyle="1" w:styleId="5">
    <w:name w:val="Без интервала2"/>
    <w:qFormat/>
    <w:uiPriority w:val="0"/>
    <w:pPr>
      <w:spacing w:after="0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paragraph" w:styleId="6">
    <w:name w:val="List Paragraph"/>
    <w:basedOn w:val="1"/>
    <w:qFormat/>
    <w:uiPriority w:val="0"/>
    <w:pPr>
      <w:ind w:left="720"/>
      <w:contextualSpacing/>
    </w:pPr>
  </w:style>
  <w:style w:type="paragraph" w:customStyle="1" w:styleId="7">
    <w:name w:val="Основной текст (2)1"/>
    <w:basedOn w:val="1"/>
    <w:qFormat/>
    <w:uiPriority w:val="0"/>
    <w:pPr>
      <w:widowControl w:val="0"/>
      <w:shd w:val="clear" w:color="auto" w:fill="FFFFFF"/>
      <w:spacing w:after="0" w:line="274" w:lineRule="exact"/>
      <w:ind w:hanging="420"/>
      <w:jc w:val="right"/>
    </w:pPr>
    <w:rPr>
      <w:rFonts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2024-06-05T11:47:00Z</dcterms:created>
  <dc:creator>1</dc:creator>
  <cp:lastModifiedBy>Татьяна Губкина</cp:lastModifiedBy>
  <dcterms:modified xsi:type="dcterms:W3CDTF">2024-06-05T11:51:23Z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00C143DCBCC0481A86E12C31F80A37F4_12</vt:lpwstr>
  </property>
</Properties>
</file>