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</w:rPr>
      </w:pPr>
      <w:r>
        <w:rPr>
          <w:b/>
          <w:sz w:val="20"/>
          <w:lang w:eastAsia="ru-RU"/>
        </w:rPr>
        <w:drawing>
          <wp:inline distT="0" distB="0" distL="114300" distR="114300">
            <wp:extent cx="519430" cy="575945"/>
            <wp:effectExtent l="0" t="0" r="13970" b="14605"/>
            <wp:docPr id="1" name="Изображение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33_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spacing w:after="0"/>
        <w:contextualSpacing/>
        <w:jc w:val="center"/>
        <w:rPr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ПРОФЕССИОНАЛЬНЫЙ СОЮЗ РАБОТНИКОВ НАРОДНОГО </w:t>
      </w:r>
      <w:r>
        <w:rPr>
          <w:rFonts w:ascii="Times New Roman" w:hAnsi="Times New Roman" w:cs="Times New Roman"/>
          <w:sz w:val="16"/>
          <w:szCs w:val="16"/>
          <w:lang w:val="ru-RU"/>
        </w:rPr>
        <w:t>ОБРАЗОВАНИИ</w:t>
      </w:r>
      <w:r>
        <w:rPr>
          <w:rFonts w:ascii="Times New Roman" w:hAnsi="Times New Roman" w:cs="Times New Roman"/>
          <w:sz w:val="16"/>
          <w:szCs w:val="16"/>
        </w:rPr>
        <w:t xml:space="preserve"> НАУКИ РОССИЙСКОЙ ФЕДЕРАЦИИ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ЛАБИНСКАЯ РАЙОННАЯ ОРГАНИЗАЦИЯ ПРОФЕССИОНАЛЬНОГО СОЮЗА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РАБОТНИКОВ НАРОДНОГО ОБРАЗОВАНИЯ И НАУКИ РОССИЙСКОЙ ФЕДЕРАЦИИ</w:t>
      </w:r>
    </w:p>
    <w:p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(ЛАБИНСКАЯ РАЙОННАЯ ОРГАНИЗАЦИЯ ОБЩЕРОССИЙСКОГО ПРОФСОЮЗА ОБРАЗОВАНИЯ)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</w:p>
    <w:p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от 26 января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г.                    г. Лабинск                                         №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>-4</w:t>
      </w:r>
    </w:p>
    <w:p>
      <w:pPr>
        <w:pStyle w:val="5"/>
        <w:jc w:val="center"/>
        <w:rPr>
          <w:sz w:val="28"/>
          <w:szCs w:val="28"/>
        </w:rPr>
      </w:pPr>
    </w:p>
    <w:p>
      <w:pPr>
        <w:pStyle w:val="5"/>
        <w:ind w:left="928"/>
        <w:contextualSpacing/>
        <w:rPr>
          <w:sz w:val="28"/>
          <w:szCs w:val="28"/>
        </w:rPr>
      </w:pPr>
    </w:p>
    <w:p>
      <w:pPr>
        <w:pStyle w:val="5"/>
        <w:rPr>
          <w:sz w:val="28"/>
          <w:szCs w:val="28"/>
        </w:rPr>
      </w:pPr>
      <w:r>
        <w:rPr>
          <w:b/>
          <w:sz w:val="28"/>
          <w:szCs w:val="28"/>
        </w:rPr>
        <w:t xml:space="preserve">Об итогах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колдоговорной компании </w:t>
      </w:r>
    </w:p>
    <w:p>
      <w:pPr>
        <w:pStyle w:val="5"/>
        <w:ind w:left="568"/>
        <w:contextualSpacing/>
        <w:rPr>
          <w:rFonts w:eastAsia="Lucida Sans Unicode"/>
          <w:b/>
          <w:kern w:val="2"/>
          <w:sz w:val="28"/>
          <w:szCs w:val="28"/>
          <w:lang w:eastAsia="ru-RU"/>
        </w:rPr>
      </w:pPr>
    </w:p>
    <w:p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 обсудив информацию (прилагается) о выполнении коллективных договоров образовательных учреждений района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b/>
          <w:sz w:val="28"/>
          <w:szCs w:val="28"/>
        </w:rPr>
        <w:t>президиум Лабинской районной организации Общероссийского Профсоюза образования 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Отметить системную работу первичных профсоюзных организаций и администраций учреждений образования по совершенствованию и развитию социального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партнёрства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Отметить, что все пункты коллективных договоров в целом выполнены.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социальным </w:t>
      </w:r>
      <w:r>
        <w:rPr>
          <w:rFonts w:ascii="Times New Roman" w:hAnsi="Times New Roman" w:cs="Times New Roman"/>
          <w:sz w:val="28"/>
          <w:szCs w:val="28"/>
          <w:lang w:val="ru-RU"/>
        </w:rPr>
        <w:t>партнёрам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 по организации, совершенствованию и развитию социального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партнёрства</w:t>
      </w:r>
      <w:r>
        <w:rPr>
          <w:rFonts w:ascii="Times New Roman" w:hAnsi="Times New Roman" w:cs="Times New Roman"/>
          <w:sz w:val="28"/>
          <w:szCs w:val="28"/>
        </w:rPr>
        <w:t xml:space="preserve">, обеспечить выполнение пунктов коллективных договоров и подведение итогов выполнения их два раза в год. </w:t>
      </w:r>
    </w:p>
    <w:p>
      <w:pPr>
        <w:pStyle w:val="4"/>
        <w:spacing w:before="0" w:beforeAutospacing="0" w:after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4.  Председателям первичных профсоюзных организаций:</w:t>
      </w:r>
    </w:p>
    <w:p>
      <w:pPr>
        <w:pStyle w:val="4"/>
        <w:spacing w:before="0" w:beforeAutospacing="0" w:after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дальнейшему развитию информационного сопровождения деятельности по коллективно-договорному регулированию социально-трудовых отношений;</w:t>
      </w:r>
    </w:p>
    <w:p>
      <w:pPr>
        <w:pStyle w:val="4"/>
        <w:spacing w:before="0" w:beforeAutospacing="0" w:after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совершенствовать формы и методы  обучения  профактива, руководителей образовательных учреждений </w:t>
      </w:r>
      <w:r>
        <w:rPr>
          <w:color w:val="000000"/>
          <w:spacing w:val="11"/>
          <w:sz w:val="28"/>
          <w:szCs w:val="28"/>
        </w:rPr>
        <w:t xml:space="preserve">по вопросам повышения экономической эффективности обязательств сторон социального партнерства.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Контроль за выполнением настоящего постановления возложить на     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Т.В.Губкину, председателя Лабинской районной организации Общероссийского Профсоюза образования.                                                                             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Лабинской районной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Общероссийского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 образования                                              Т.В.Губкина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ИНФОРМАЦИЯ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 итогах выполнения коллективных договоров в Лабинской территориальной организации Профсоюза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год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Во всех 66 образовательных учреждениях (100%) Лабинского района  в целях защиты прав и гарантий работников образовательных учреждений в вопросах организации труда и заработной платы, режима рабочего времени, условий и охраны труда, а также для социальной поддержки работников заключены коллективные договора.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Лабинская районная территориальная организация Профсоюза работников народного образования и науки РФ  состоит из:</w:t>
      </w:r>
    </w:p>
    <w:p>
      <w:pPr>
        <w:ind w:left="-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30 общеобразовательных учреждений,</w:t>
      </w:r>
    </w:p>
    <w:p>
      <w:pPr>
        <w:ind w:left="-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29 дошкольных образовательных учреждений,</w:t>
      </w:r>
    </w:p>
    <w:p>
      <w:pPr>
        <w:ind w:left="-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3  учреждений дополнительного образования,</w:t>
      </w:r>
    </w:p>
    <w:p>
      <w:pPr>
        <w:ind w:left="-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4 других профорганизации (МИМЦ, РКП, детский лагерь «Мечта», ЦБ УО).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Соглашение по организациям отрасли образования муниципального образования Лабинский район на 01.01.2021-31.12.2023 годы прошло уведомительную регистрацию 25  декабря 2020 года. 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 </w:t>
      </w:r>
      <w:r>
        <w:rPr>
          <w:rFonts w:hint="default" w:ascii="Times New Roman" w:hAnsi="Times New Roman" w:cs="Times New Roman"/>
          <w:sz w:val="28"/>
          <w:szCs w:val="28"/>
        </w:rPr>
        <w:t xml:space="preserve">школах,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детских садах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трех других организациях</w:t>
      </w:r>
      <w:r>
        <w:rPr>
          <w:rFonts w:hint="default" w:ascii="Times New Roman" w:hAnsi="Times New Roman" w:cs="Times New Roman"/>
          <w:sz w:val="28"/>
          <w:szCs w:val="28"/>
        </w:rPr>
        <w:t xml:space="preserve"> были  заключены новые коллективные договоры.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58</w:t>
      </w:r>
      <w:r>
        <w:rPr>
          <w:rFonts w:hint="default" w:ascii="Times New Roman" w:hAnsi="Times New Roman" w:cs="Times New Roman"/>
          <w:sz w:val="28"/>
          <w:szCs w:val="28"/>
        </w:rPr>
        <w:t xml:space="preserve"> коллективных договора прошли уведомительную регистрацию в 2020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2021 </w:t>
      </w:r>
      <w:r>
        <w:rPr>
          <w:rFonts w:hint="default" w:ascii="Times New Roman" w:hAnsi="Times New Roman" w:cs="Times New Roman"/>
          <w:sz w:val="28"/>
          <w:szCs w:val="28"/>
        </w:rPr>
        <w:t xml:space="preserve">году.  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Согласно постановлениям  райкома Профсоюза   были проведены экспертные оценки вновь заключенных коллективных договоров. Все коллективные договоры полностью отвечают поставленным вопросам экспертизы, т.к. в районной организации сложилась определённая практика подготовки, заключения и контроля за выполнением коллективных договоров. Вопросы дополнений, изменений, процедуры проведения и разработки коллективного договора рассматриваются на заседаниях совета президиума первичных профсоюзных организаций, при обучении председателей первичных профорганизаций и профактива.           </w:t>
      </w:r>
    </w:p>
    <w:p>
      <w:pPr>
        <w:ind w:firstLine="4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Порядок, содержание, условия заключения КД соответствуют требованиям, содержащимся в ТК РФ, Законе РФ «О коллективных договорах и соглашениях, иных нормативных актах, регулирующих правоотношения в РФ.</w:t>
      </w:r>
    </w:p>
    <w:p>
      <w:pPr>
        <w:ind w:firstLine="4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Структура коллективных договоров соответствует требованиям, изложенным в ст. 41 ТК РФ. Разделы коллективного договора регулируют социально-трудовые отношения и направлены на защиту профессиональных, экономических прав и интересов членов коллектива: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общие положения;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трудовой договор;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профессиональная подготовка, переподготовка и повышение квалификации работников;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высвобождение работников и содействие их трудоустройству;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рабочее время и время отдыха;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оплата и нормирование труда;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гарантии и компенсации;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охрана труда и здоровья;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гарантии профсоюзной деятельности;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обязательства профкома;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контроль за выполнением КД, ответственность сторон.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Приложениями к коллективным договорам являются локальные акты: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правила внутреннего трудового распорядка учреждения;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положение о распределении стимулирующего фонда оплаты труда учреждения;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перечень оснований предоставления материальной помощи работникам и ее размеры;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соглашение по охране труда;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перечень профессий и должностей на бесплатное получение СИЗ;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перечень должностей и профессий, которые проходят обязательный медицинский осмотр;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перечень профессий и должностей работников, занятых на работах с вредными и (или) опасными условиями труда;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форма расчетного листа.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Коллективные договора утверждены на собраниях трудовых коллективов, зарегистрированы в отделе по труду и в районной организации Профсоюза работников образования.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Во многих коллективных договорах установлены дополнительные гарантии и льготы, направленные на социальную поддержку работников по сравнению с действующим законодательством: </w:t>
      </w:r>
    </w:p>
    <w:p>
      <w:pPr>
        <w:spacing w:after="0" w:line="240" w:lineRule="auto"/>
        <w:ind w:right="-92"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-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членам профсоюзных комитетов за общественную работу – дополнительных 3 дня к отпуску – 19</w:t>
      </w:r>
      <w:r>
        <w:rPr>
          <w:rFonts w:hint="default" w:ascii="Times New Roman" w:hAnsi="Times New Roman" w:cs="Times New Roman"/>
          <w:color w:val="FF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чел.;</w:t>
      </w:r>
    </w:p>
    <w:p>
      <w:pPr>
        <w:ind w:left="0" w:leftChars="0" w:firstLine="358" w:firstLineChars="12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предоставление 3-5 дней отпуска с сохранением заработной платы председателю первичной профсоюзной организации - 9 человек;</w:t>
      </w:r>
    </w:p>
    <w:p>
      <w:pPr>
        <w:ind w:firstLine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предоставление 3 дней отпуска с сохранением заработной платы работникам при отсутствии в течение учебного года дней нетрудоспособности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 (МОП);</w:t>
      </w:r>
    </w:p>
    <w:p>
      <w:pPr>
        <w:ind w:firstLine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оказание материальной помощи в случаях длительной болезни или проведения сложной операции, стихийного бедствия (пожар, наводнение), смерти близкого члена семьи - 9 человек;</w:t>
      </w:r>
    </w:p>
    <w:p>
      <w:pPr>
        <w:pStyle w:val="4"/>
        <w:spacing w:before="0" w:beforeAutospacing="0" w:after="0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-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поддержка работников, уходящих на пенсию по возрасту, юбилеи - 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человек на сумму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60,8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рубля;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-  оказание материальной помощи в случаях смерти близкого родственника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60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- оказание материальной помощи при рождении ребенка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hint="default" w:ascii="Times New Roman" w:hAnsi="Times New Roman" w:cs="Times New Roman"/>
          <w:sz w:val="28"/>
          <w:szCs w:val="28"/>
        </w:rPr>
        <w:t xml:space="preserve"> сотрудников;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- оказание материальной помощи на свадьбу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-  предоставление 3 календарных дней в случае свадьбы работника – 4 человека;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-  предоставление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до </w:t>
      </w:r>
      <w:r>
        <w:rPr>
          <w:rFonts w:hint="default" w:ascii="Times New Roman" w:hAnsi="Times New Roman" w:cs="Times New Roman"/>
          <w:sz w:val="28"/>
          <w:szCs w:val="28"/>
        </w:rPr>
        <w:t>3 календарных дней отпуска на похороны близких родственников – 96 человек;</w:t>
      </w:r>
    </w:p>
    <w:p>
      <w:pPr>
        <w:pStyle w:val="6"/>
        <w:shd w:val="clear" w:color="auto" w:fill="FFFFFF"/>
        <w:tabs>
          <w:tab w:val="left" w:pos="0"/>
        </w:tabs>
        <w:spacing w:before="7" w:after="0" w:line="240" w:lineRule="auto"/>
        <w:ind w:left="0" w:right="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закрепление наставников за работниками из числа молодежи в первый год их работы в отрасли, установлению наставникам доплаты за проводимую работу, воспользовались - 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Режим работы, время отдыха, порядок приема, перевода и увольнения работников, основные права, обязанности и ответственность работников и работодателя, а также меры поощрения и взыскания определены правилами внутреннего трудового распорядка, согласованными с профсоюзным органом.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Вопросы заключения и контроля за выполнением коллективных договоров рассматривались на президиумах районного комитета.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-   Об итогах колдоговорной кампании по учреждениям образования Лабинского района за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26.01.202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г.);                         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-  Об утверждении планов работы районной территориальной организации Профсоюза работников образования на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полугодие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года,  Программы работы с профактивом, плана обучения профактива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26.01.202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г.);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-  Об обеспеченности педработников района жильем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26.01.202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г.);                                                                                                                                   -  О заключении соглашений по охране труда в образовательных организациях района на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  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26.01.202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г.);                                                                                - О работе Лабинской районной организации Профсоюза по охране труда 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26.01.202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г.);    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- О работе Лабинской районной организации Профсоюза по       правозащитной работе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26.01.202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г.);                                                                  - О состоянии профсоюзного членства в районной организации за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каждый квартал 2022 года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  (протокол №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26,29,33,36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);              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- Мониторинг  заработной платы работников отрасли з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а каждый квартал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    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26, 29, 33, 36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);                                                          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- Об участие в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 краевом творческом конкурсе  «Учитель. Школа. Жизнь» в 202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 году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27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.02.202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г.);                                                                                                                                                                                                                                                                    - Об участии в  проведении районных профессиональных конкурсов: «Директор Года», «Психолог Года», «Учитель Года»,  «Воспитатель Года» и «Педагог дополнительного образования»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26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26.01.202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г.);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</w:rPr>
        <w:t xml:space="preserve">- </w:t>
      </w:r>
      <w:r>
        <w:rPr>
          <w:rStyle w:val="7"/>
          <w:rFonts w:hint="default" w:ascii="Times New Roman" w:hAnsi="Times New Roman" w:eastAsia="Lucida Sans Unicode" w:cs="Times New Roman"/>
          <w:sz w:val="28"/>
          <w:szCs w:val="28"/>
          <w:highlight w:val="none"/>
        </w:rPr>
        <w:t>О</w:t>
      </w:r>
      <w:r>
        <w:rPr>
          <w:rStyle w:val="7"/>
          <w:rFonts w:hint="default" w:ascii="Times New Roman" w:hAnsi="Times New Roman" w:eastAsia="Lucida Sans Unicode" w:cs="Times New Roman"/>
          <w:b/>
          <w:sz w:val="28"/>
          <w:szCs w:val="28"/>
          <w:highlight w:val="none"/>
        </w:rPr>
        <w:t xml:space="preserve"> </w:t>
      </w:r>
      <w:r>
        <w:rPr>
          <w:rStyle w:val="7"/>
          <w:rFonts w:hint="default" w:ascii="Times New Roman" w:hAnsi="Times New Roman" w:eastAsia="Lucida Sans Unicode" w:cs="Times New Roman"/>
          <w:sz w:val="28"/>
          <w:szCs w:val="28"/>
          <w:highlight w:val="none"/>
        </w:rPr>
        <w:t xml:space="preserve">проведении 28 апреля Всемирного дня охраны труда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28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28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.03.202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г.);                                                                                                                 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- Об утверждение распределения путевок членам Профсоюза и членам их семей в «Центр отдыха работников образования «Рассвет»» в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году»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30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от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30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.05.202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г.);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  <w:t>- О выполнении коллективных договоров по учреждениям образования  Лабинского района за 1 полугодие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года (протокол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31</w:t>
      </w:r>
      <w:r>
        <w:rPr>
          <w:rFonts w:hint="default" w:ascii="Times New Roman" w:hAnsi="Times New Roman" w:cs="Times New Roman"/>
          <w:i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.06.202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г.);</w:t>
      </w:r>
      <w:r>
        <w:rPr>
          <w:rFonts w:hint="default" w:ascii="Times New Roman" w:hAnsi="Times New Roman" w:cs="Times New Roman"/>
          <w:i/>
          <w:sz w:val="28"/>
          <w:szCs w:val="28"/>
          <w:highlight w:val="none"/>
        </w:rPr>
        <w:t xml:space="preserve">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i/>
          <w:sz w:val="28"/>
          <w:szCs w:val="28"/>
          <w:highlight w:val="none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О выполнении отраслевого Соглашения по организациям образования Лабинского района за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/>
        </w:rPr>
        <w:t>I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полугодие 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года (протокол  №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31</w:t>
      </w:r>
      <w:r>
        <w:rPr>
          <w:rFonts w:hint="default" w:ascii="Times New Roman" w:hAnsi="Times New Roman" w:cs="Times New Roman"/>
          <w:i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31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.06.202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г.).</w:t>
      </w:r>
    </w:p>
    <w:p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мероприятиям, способствующим повышению эффективности заключаемых коллективных договоров и контролю за состоянием коллективно-договорных отношений в образовательных учреждениях, относятся: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учеба профсоюзного актива;</w:t>
      </w:r>
    </w:p>
    <w:p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совместные проверки (Профсоюз, управление образованием,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Центра заняности</w:t>
      </w:r>
      <w:r>
        <w:rPr>
          <w:rFonts w:hint="default" w:ascii="Times New Roman" w:hAnsi="Times New Roman" w:cs="Times New Roman"/>
          <w:sz w:val="28"/>
          <w:szCs w:val="28"/>
        </w:rPr>
        <w:t>);</w:t>
      </w:r>
    </w:p>
    <w:p>
      <w:pPr>
        <w:pStyle w:val="4"/>
        <w:spacing w:before="0" w:beforeAutospacing="0" w:after="0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отчеты и анализ о подведении итогов выполнения коллективных договоров, соглашений по охране труда. 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 всех образовательных учреждениях района проведены собрания по вопросу обсуждения выполнения обязательств коллективных договоров 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год. Информация предоставлена в районную организацию Профсоюза и в отдел по труду  и социальным вопросам УСЗН в Лабинском районе. Анализ коллективных договоров позволяет сделать вывод, что пункты коллективных договоров в целом выполнены. Сроки выплаты заработной платы соблюдались, предоставлялись дополнительные оплачиваемые отпуска, работа в  праздничные дни и ночное время оплачивалась, согласно пунктам коллективных договоров.</w:t>
      </w:r>
    </w:p>
    <w:p>
      <w:pPr>
        <w:ind w:firstLine="708"/>
        <w:rPr>
          <w:rFonts w:hint="default" w:ascii="Times New Roman" w:hAnsi="Times New Roman" w:cs="Times New Roman"/>
          <w:sz w:val="28"/>
          <w:szCs w:val="28"/>
          <w:highlight w:val="yellow"/>
        </w:rPr>
      </w:pPr>
      <w:r>
        <w:rPr>
          <w:rFonts w:hint="default" w:ascii="Times New Roman" w:hAnsi="Times New Roman" w:cs="Times New Roman"/>
          <w:sz w:val="28"/>
          <w:szCs w:val="28"/>
          <w:highlight w:val="yellow"/>
        </w:rPr>
        <w:t xml:space="preserve">На организацию охраны труда за данный период израсходовано 11606,56 тыс. рублей:         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8"/>
          <w:szCs w:val="28"/>
          <w:highlight w:val="yellow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highlight w:val="yellow"/>
        </w:rPr>
        <w:t xml:space="preserve">  - обучение по охране труда  -  78,2 тыс. руб.;                                                                                  - проведение медицинских осмотров – 3546,7тыс. руб.;                                                  - обеспечение спецодеждой и СИЗ  - 298,46 тыс. руб.;                                                                    - специальную оценку рабочих мест – 98,2 тыс. руб.;</w:t>
      </w:r>
      <w:r>
        <w:rPr>
          <w:rFonts w:hint="default" w:ascii="Times New Roman" w:hAnsi="Times New Roman" w:cs="Times New Roman"/>
          <w:sz w:val="28"/>
          <w:szCs w:val="28"/>
          <w:highlight w:val="yellow"/>
        </w:rPr>
        <w:tab/>
      </w:r>
      <w:r>
        <w:rPr>
          <w:rFonts w:hint="default"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- возврат страховых взносов 20% ФСС – 243,8тыс. руб.;                                                   - другие мероприятия – 7341,2</w:t>
      </w:r>
      <w:r>
        <w:rPr>
          <w:rFonts w:hint="default" w:ascii="Times New Roman" w:hAnsi="Times New Roman" w:cs="Times New Roman"/>
          <w:highlight w:val="yellow"/>
        </w:rPr>
        <w:t> </w:t>
      </w:r>
      <w:r>
        <w:rPr>
          <w:rFonts w:hint="default" w:ascii="Times New Roman" w:hAnsi="Times New Roman" w:cs="Times New Roman"/>
          <w:sz w:val="28"/>
          <w:szCs w:val="28"/>
          <w:highlight w:val="yellow"/>
        </w:rPr>
        <w:t>тыс. руб..</w:t>
      </w:r>
    </w:p>
    <w:p>
      <w:pPr>
        <w:ind w:firstLine="709"/>
        <w:jc w:val="both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Прохождение обязательных предварительных (при поступлении на работу) и периодических медицинских осмотров работников проводится за счет работодателей.</w:t>
      </w:r>
    </w:p>
    <w:p>
      <w:pPr>
        <w:ind w:right="-167"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Администрации ОУ района обеспечивают обязательное социальное страхование работников в порядке, установленном федеральными законами, прохождение бесплатных обязательных предварительных и периодических медицинских осмотров работников.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целях усиления материальной заинтересованности работников в повышении качества образовательного и воспитательного процессов, развития творческой инициативы, усиления социально-экономической защиты работников в ОУ района разработаны Положения об оплате труда, являющиеся приложениями к коллективным договорам. В соответствии с данными Положениями работникам установлены стимулирующие и компенсационные выплаты, Положение о молодом специалисте.</w:t>
      </w:r>
    </w:p>
    <w:p>
      <w:pPr>
        <w:ind w:right="-16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Администрации ОУ района обеспечивают обязательное социальное страхование работников в порядке, установленном федеральными законами, прохождение бесплатных обязательных предварительных и периодических медицинских осмотров работников.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Заработная плата, отпускные, коммунальные услуги, доплата за работу в ночное время и праздничные дни выплачивались своевременно (не зависимо от введенных  мероприятий в связи с пандемией), осуществлялось премирование. </w:t>
      </w:r>
    </w:p>
    <w:p>
      <w:pPr>
        <w:ind w:right="-167"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Профсоюзные комитеты ОУ принимали участие в  аттестации педработников, согласовывали расписание учебных занятий, график отпусков, тарификацию, контролировали соблюдение трудового законодательства администрациями ОУ, порядок исчисления средней заработной платы в период карантинных мероприятий, правильность расходования фондов заработной платы, ведение и хранение трудовых книжек, переход на электронный вид трудовых книжек,  предоставление отпусков и их оплату.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Вопросы приема, увольнения работников осуществляются в соответствии с Трудовым кодексом. При приеме на работу с работниками заключались трудовые договора в письменной форме. При оформлении  трудовых договоров учитывается такое понятие как «эффективный  трудовой контракт», который регулирует  выплату стимулирующей части заработной платы сотруднику.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</w:rPr>
        <w:t>Все дети работников учреждения обеспечены местами в детских дошкольных образовательных учреждениях.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В рамках социального партнерства осуществляются инновационные формы поддержки работников образования это: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sz w:val="32"/>
          <w:szCs w:val="32"/>
        </w:rPr>
        <w:t>Негосударственное пенсионное обеспечение работников через НПФ «САФМАР»</w:t>
      </w:r>
      <w:r>
        <w:rPr>
          <w:rFonts w:hint="default" w:ascii="Times New Roman" w:hAnsi="Times New Roman" w:cs="Times New Roman"/>
          <w:sz w:val="28"/>
          <w:szCs w:val="28"/>
        </w:rPr>
        <w:t>, для улучшения социально-экономического положения по достижении пенсионного возраста, этим правом воспользовались – 41 человек;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социальная поддержка работников-членов Профсоюза через кредитный потребительский кооператив –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получили 4 человека займов на сумму - 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0 тыс. рублей.</w:t>
      </w:r>
    </w:p>
    <w:p>
      <w:pPr>
        <w:ind w:firstLine="708"/>
        <w:jc w:val="both"/>
        <w:rPr>
          <w:rFonts w:hint="default"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>- 972 члена профсоюза зарегистрированы и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234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получ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или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льготы в рамках краевой профсоюзной экосистемы «Профмаркет» и федеральной бонусной программы </w:t>
      </w:r>
      <w:r>
        <w:rPr>
          <w:rFonts w:hint="default" w:ascii="Times New Roman" w:hAnsi="Times New Roman" w:cs="Times New Roman"/>
          <w:sz w:val="28"/>
          <w:szCs w:val="28"/>
        </w:rPr>
        <w:t>"Профкардс".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 </w:t>
      </w:r>
    </w:p>
    <w:p>
      <w:pPr>
        <w:ind w:firstLine="5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Первичными профсоюзными организациями и районной организацией Профсоюза проводилась  работа по оздоровлению работников образовательных учреждений района.</w:t>
      </w:r>
    </w:p>
    <w:p>
      <w:pPr>
        <w:tabs>
          <w:tab w:val="left" w:pos="203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41</w:t>
      </w:r>
      <w:r>
        <w:rPr>
          <w:rFonts w:hint="default" w:ascii="Times New Roman" w:hAnsi="Times New Roman" w:cs="Times New Roman"/>
          <w:sz w:val="28"/>
          <w:szCs w:val="28"/>
        </w:rPr>
        <w:t xml:space="preserve"> сотрудник   отдохнули по профсоюзным путевкам в центре оздоровления «Рассвет» г.Геленджика. Путевки приобретены  за счет средств районной организации Профсоюза на сумму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576,1</w:t>
      </w:r>
      <w:r>
        <w:rPr>
          <w:rFonts w:hint="default" w:ascii="Times New Roman" w:hAnsi="Times New Roman" w:cs="Times New Roman"/>
          <w:sz w:val="28"/>
          <w:szCs w:val="28"/>
        </w:rPr>
        <w:t xml:space="preserve"> тыс. рублей. Путевки вручались победителям районных профессиональных конкурсов, работникам за многолетний и добросовестный труд, высокие достижения, творческое отношение к работе и активное участие в общественной жизни первичных профсоюзных организаций.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детских путевки в ЦОРО «Рассвет» приобретены за счет собственных средств сотрудника на сумму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273</w:t>
      </w:r>
      <w:r>
        <w:rPr>
          <w:rFonts w:hint="default" w:ascii="Times New Roman" w:hAnsi="Times New Roman" w:cs="Times New Roman"/>
          <w:sz w:val="28"/>
          <w:szCs w:val="28"/>
        </w:rPr>
        <w:t>00  рублей.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  работников сферы образования  прошли курс лечения в санаториях   г.Пятигорска, Анапы,  г. Ессентуки, г-к. Сочи по путевкам ФНПР с 20% скидкой.</w:t>
      </w:r>
    </w:p>
    <w:p>
      <w:pPr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>оллектив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 учреждений 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проводили</w:t>
      </w:r>
      <w:r>
        <w:rPr>
          <w:rFonts w:hint="default" w:ascii="Times New Roman" w:hAnsi="Times New Roman" w:cs="Times New Roman"/>
          <w:sz w:val="28"/>
          <w:szCs w:val="28"/>
        </w:rPr>
        <w:t xml:space="preserve"> спортивные мероприятия, экскурсионные  поездки по району и краю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в республику Крым.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Многие </w:t>
      </w:r>
      <w:r>
        <w:rPr>
          <w:rFonts w:hint="default" w:ascii="Times New Roman" w:hAnsi="Times New Roman" w:cs="Times New Roman"/>
          <w:sz w:val="28"/>
          <w:szCs w:val="28"/>
        </w:rPr>
        <w:t>член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профсоюза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совершали</w:t>
      </w:r>
      <w:r>
        <w:rPr>
          <w:rFonts w:hint="default" w:ascii="Times New Roman" w:hAnsi="Times New Roman" w:cs="Times New Roman"/>
          <w:sz w:val="28"/>
          <w:szCs w:val="28"/>
        </w:rPr>
        <w:t xml:space="preserve"> семейные "вылазки"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п. Никитино, х. Кизинка, г. Лаго-Наки, оз.Горное. Совершались малочисленные велосипедные путешествия по городу и району.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Для оказания практической помощи первичным профсоюзным организациям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руководителям учреждений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разрабатывались  и направлялись методические рекомендации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«Информационные выпуски» </w:t>
      </w:r>
      <w:r>
        <w:rPr>
          <w:rFonts w:hint="default" w:ascii="Times New Roman" w:hAnsi="Times New Roman" w:cs="Times New Roman"/>
          <w:sz w:val="28"/>
          <w:szCs w:val="28"/>
        </w:rPr>
        <w:t xml:space="preserve">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различным вопросам - «Совмещение и совместительство», «Увольнение сотрудника по собственному желанию в период отсутвия сотрудника на работе», «Отпуск родителей ребенка-инвалида», «Получение персональных данных», «Новое в законодательстве с 1 января 2023 года» и пр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>
      <w:pPr>
        <w:tabs>
          <w:tab w:val="left" w:pos="2030"/>
        </w:tabs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</w:rPr>
        <w:t xml:space="preserve">          </w:t>
      </w:r>
      <w:r>
        <w:rPr>
          <w:rFonts w:hint="default" w:ascii="Times New Roman" w:hAnsi="Times New Roman" w:cs="Times New Roman"/>
          <w:sz w:val="28"/>
          <w:szCs w:val="28"/>
        </w:rPr>
        <w:t>Анализ коллективных договоров позволяет сделать вывод, что пункты коллективных договоров в целом выполнены. Невыполнение некоторых пунктов или выполнение в неполном объеме (обеспеченность спецодеждой,  спецобувью, средствами индивидуальной защиты работников образовательных учреждений на 100%, проведение специальной оценки условий труда) связано с недостаточным финансированием.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работа и контроль за выполнением обязательств коллективных договоров будет продолжена. 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8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Без интервала4"/>
    <w:qFormat/>
    <w:uiPriority w:val="99"/>
    <w:pPr>
      <w:spacing w:after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List Paragraph"/>
    <w:basedOn w:val="1"/>
    <w:qFormat/>
    <w:uiPriority w:val="34"/>
    <w:pPr>
      <w:spacing w:line="276" w:lineRule="auto"/>
      <w:ind w:left="720"/>
      <w:contextualSpacing/>
    </w:pPr>
    <w:rPr>
      <w:rFonts w:eastAsia="SimSun"/>
      <w:lang w:eastAsia="ru-RU"/>
    </w:rPr>
  </w:style>
  <w:style w:type="character" w:customStyle="1" w:styleId="7">
    <w:name w:val="Основной текст1"/>
    <w:qFormat/>
    <w:uiPriority w:val="0"/>
    <w:rPr>
      <w:rFonts w:hint="default"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2023-06-12T06:07:35Z</dcterms:created>
  <dc:creator>1</dc:creator>
  <cp:lastModifiedBy>1</cp:lastModifiedBy>
  <dcterms:modified xsi:type="dcterms:W3CDTF">2023-06-12T06:07:40Z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3C1F5BE65DC34560BB90FAF02A5245C3</vt:lpwstr>
  </property>
</Properties>
</file>